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DFC509A" wp14:paraId="47AD321B" wp14:textId="76D0C28C">
      <w:pPr>
        <w:pStyle w:val="Heading1"/>
      </w:pPr>
      <w:r w:rsidRPr="2DC5B43B" w:rsidR="0C7760D5">
        <w:rPr>
          <w:noProof w:val="0"/>
          <w:lang w:val="en-US"/>
        </w:rPr>
        <w:t xml:space="preserve">Reader / Grader </w:t>
      </w:r>
      <w:r w:rsidRPr="2DC5B43B" w:rsidR="1CFC6526">
        <w:rPr>
          <w:noProof w:val="0"/>
          <w:lang w:val="en-US"/>
        </w:rPr>
        <w:t>Job Description</w:t>
      </w:r>
    </w:p>
    <w:p w:rsidR="0C7760D5" w:rsidP="2DFC509A" w:rsidRDefault="0C7760D5" w14:paraId="0EE16D6E" w14:textId="65E9E9E2">
      <w:pPr>
        <w:pStyle w:val="Heading2"/>
        <w:rPr>
          <w:noProof w:val="0"/>
          <w:lang w:val="en-US"/>
        </w:rPr>
      </w:pPr>
      <w:r w:rsidRPr="2DFC509A" w:rsidR="0C7760D5">
        <w:rPr>
          <w:noProof w:val="0"/>
          <w:lang w:val="en-US"/>
        </w:rPr>
        <w:t xml:space="preserve">Job </w:t>
      </w:r>
      <w:r w:rsidRPr="2DFC509A" w:rsidR="66B0999B">
        <w:rPr>
          <w:noProof w:val="0"/>
          <w:lang w:val="en-US"/>
        </w:rPr>
        <w:t>Duties</w:t>
      </w:r>
    </w:p>
    <w:p xmlns:wp14="http://schemas.microsoft.com/office/word/2010/wordml" w:rsidP="2DFC509A" wp14:paraId="69D10AAE" wp14:textId="2367E4CA">
      <w:pPr>
        <w:pStyle w:val="Normal"/>
        <w:shd w:val="clear" w:color="auto" w:fill="FFFFFF" w:themeFill="background1"/>
        <w:spacing w:before="0" w:beforeAutospacing="off" w:after="375" w:afterAutospacing="off"/>
        <w:ind w:lef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Reader/Graders provide diverse services as course assistants, which will normally include grading student papers and examinations. Other duties may include </w:t>
      </w:r>
      <w:r w:rsidRPr="2DFC509A" w:rsidR="75F5D7B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reco</w:t>
      </w:r>
      <w:r w:rsidRPr="2DFC509A" w:rsidR="7267F41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rding 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attendance at lectures, consultation with instructors, and other duties as assigned. </w:t>
      </w:r>
      <w:r w:rsidRPr="2DFC509A" w:rsidR="0C92C4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A</w:t>
      </w:r>
      <w:r w:rsidRPr="2DFC509A" w:rsidR="0C92C4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dditional</w:t>
      </w:r>
      <w:r w:rsidRPr="2DFC509A" w:rsidR="0C92C4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</w:t>
      </w:r>
      <w:r w:rsidRPr="2DFC509A" w:rsidR="0C92C4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hiring criteria may be </w:t>
      </w:r>
      <w:r w:rsidRPr="2DFC509A" w:rsidR="0C92C4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d</w:t>
      </w:r>
      <w:r w:rsidRPr="2DFC509A" w:rsidR="0C92C4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etermined</w:t>
      </w:r>
      <w:r w:rsidRPr="2DFC509A" w:rsidR="0C92C4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</w:t>
      </w:r>
      <w:r w:rsidRPr="2DFC509A" w:rsidR="0C92C4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by the individual instructor supervisor and will be posted during the hiring process. 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R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eader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/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Graders may not perform teaching duties. </w:t>
      </w:r>
    </w:p>
    <w:p xmlns:wp14="http://schemas.microsoft.com/office/word/2010/wordml" w:rsidP="2DC5B43B" wp14:paraId="31DA4EA8" wp14:textId="248285D7">
      <w:pPr>
        <w:pStyle w:val="Heading2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2DC5B43B" w:rsidR="7ECED13C">
        <w:rPr>
          <w:noProof w:val="0"/>
          <w:lang w:val="en-US"/>
        </w:rPr>
        <w:t>Proces</w:t>
      </w:r>
      <w:r w:rsidRPr="2DC5B43B" w:rsidR="57EEFE37">
        <w:rPr>
          <w:noProof w:val="0"/>
          <w:lang w:val="en-US"/>
        </w:rPr>
        <w:t>s</w:t>
      </w:r>
    </w:p>
    <w:p xmlns:wp14="http://schemas.microsoft.com/office/word/2010/wordml" w:rsidP="2DFC509A" wp14:paraId="31CD0F43" wp14:textId="5765E29B">
      <w:pPr>
        <w:pStyle w:val="Normal"/>
        <w:shd w:val="clear" w:color="auto" w:fill="FFFFFF" w:themeFill="background1"/>
        <w:spacing w:before="0" w:beforeAutospacing="off" w:after="375" w:afterAutospacing="off"/>
        <w:ind w:lef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Instructors are entitled to a reader/grader allocation from the Department if they are teaching an undergraduate level Econ class without a TA. </w:t>
      </w:r>
      <w:r w:rsidRPr="2DFC509A" w:rsidR="2AF0D2C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(Some instructors choose to not use a reader/</w:t>
      </w:r>
      <w:r w:rsidRPr="2DFC509A" w:rsidR="2AF0D2C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grader</w:t>
      </w:r>
      <w:r w:rsidRPr="2DFC509A" w:rsidR="2AF0D2CC">
        <w:rPr>
          <w:rFonts w:ascii="Open Sans" w:hAnsi="Open Sans" w:eastAsia="Open Sans" w:cs="Open Sans"/>
          <w:noProof w:val="0"/>
          <w:sz w:val="24"/>
          <w:szCs w:val="24"/>
          <w:lang w:val="en-US"/>
        </w:rPr>
        <w:t xml:space="preserve"> )</w:t>
      </w:r>
      <w:r w:rsidRPr="2DFC509A" w:rsidR="2AF0D2CC">
        <w:rPr>
          <w:rFonts w:ascii="Open Sans" w:hAnsi="Open Sans" w:eastAsia="Open Sans" w:cs="Open San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DFC509A" wp14:paraId="7D569468" wp14:textId="179C6FBB">
      <w:pPr>
        <w:pStyle w:val="Normal"/>
        <w:shd w:val="clear" w:color="auto" w:fill="FFFFFF" w:themeFill="background1"/>
        <w:spacing w:before="0" w:beforeAutospacing="off" w:after="375" w:afterAutospacing="off"/>
        <w:ind w:lef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Reader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/graders </w:t>
      </w:r>
      <w:r w:rsidRPr="2DFC509A" w:rsidR="6490384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are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hired by the instructor </w:t>
      </w:r>
      <w:r w:rsidRPr="2DFC509A" w:rsidR="2C1DE9D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and serve as the employee 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supervisor. </w:t>
      </w:r>
    </w:p>
    <w:p xmlns:wp14="http://schemas.microsoft.com/office/word/2010/wordml" w:rsidP="2DFC509A" wp14:paraId="76118F08" wp14:textId="37AE56DB">
      <w:pPr>
        <w:pStyle w:val="Normal"/>
        <w:shd w:val="clear" w:color="auto" w:fill="FFFFFF" w:themeFill="background1"/>
        <w:spacing w:before="0" w:beforeAutospacing="off" w:after="375" w:afterAutospacing="off"/>
        <w:ind w:lef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At the time of hiring each quarter, appointed reader/graders will receive an appointment letter from the Department consistent with Article 4 of the UAW/UW collective bargaining agreement.</w:t>
      </w:r>
    </w:p>
    <w:p xmlns:wp14="http://schemas.microsoft.com/office/word/2010/wordml" w:rsidP="2DFC509A" wp14:paraId="2901850C" wp14:textId="115D6CFD">
      <w:pPr>
        <w:pStyle w:val="Heading2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2DFC509A" w:rsidR="3F427DCD">
        <w:rPr>
          <w:noProof w:val="0"/>
          <w:lang w:val="en-US"/>
        </w:rPr>
        <w:t>Compensation</w:t>
      </w:r>
    </w:p>
    <w:p xmlns:wp14="http://schemas.microsoft.com/office/word/2010/wordml" w:rsidP="2DFC509A" wp14:paraId="0CC8AB43" wp14:textId="24E8FAF7">
      <w:pPr>
        <w:shd w:val="clear" w:color="auto" w:fill="FFFFFF" w:themeFill="background1"/>
        <w:spacing w:before="0" w:beforeAutospacing="off" w:after="375" w:after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Reader/graders in the Department of Economics will be paid from the departmental allocation at the rate of $21.57 per hour with a workload expectation of an average of 1 hour per student per quarter. </w:t>
      </w:r>
    </w:p>
    <w:p xmlns:wp14="http://schemas.microsoft.com/office/word/2010/wordml" w:rsidP="2DFC509A" wp14:paraId="78247C58" wp14:textId="53152B79">
      <w:pPr>
        <w:shd w:val="clear" w:color="auto" w:fill="FFFFFF" w:themeFill="background1"/>
        <w:spacing w:before="0" w:beforeAutospacing="off" w:after="375" w:after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As per Article 32 of the collective bargaining agreement, reader/graders will not be 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required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to work more hours than specified in their appointment 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letters, or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work any hours for which they are not paid. **International students, please see 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additional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information at the bottom of this page.</w:t>
      </w:r>
    </w:p>
    <w:p w:rsidR="0C7760D5" w:rsidP="2DFC509A" w:rsidRDefault="0C7760D5" w14:paraId="33092C8F" w14:textId="7A87622A">
      <w:pPr>
        <w:shd w:val="clear" w:color="auto" w:fill="FFFFFF" w:themeFill="background1"/>
        <w:spacing w:before="0" w:beforeAutospacing="off" w:after="375" w:afterAutospacing="off"/>
      </w:pP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Reader/graders in the Department of Economics are paid on a flat rate basis, based on 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enrollments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. The Administrator and/or Payroll Coordinator will not request or require a time sheet to document actual hours 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worked, but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instead will take the instructor supervisor’s notification of reader 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selection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and the 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subsequently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issued appointment letter as 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indication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of the work agreement. It is the supervisor’s responsibility to ensure assignment and completion of work for the project period, or to notify the Administrator if the hired reader/grader was not available for work (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should not to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be paid) after being appointed for the quarter. Payments will 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generally be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processed so that 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reader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/graders receive the whole flat amount on the last 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pay check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of the quarter.</w:t>
      </w:r>
    </w:p>
    <w:p w:rsidR="122EE843" w:rsidP="2DFC509A" w:rsidRDefault="122EE843" w14:paraId="77492970" w14:textId="23D6AF4E">
      <w:pPr>
        <w:pStyle w:val="Heading2"/>
        <w:bidi w:val="0"/>
      </w:pPr>
      <w:r w:rsidRPr="2DFC509A" w:rsidR="122EE843">
        <w:rPr>
          <w:noProof w:val="0"/>
          <w:lang w:val="en-US"/>
        </w:rPr>
        <w:t>Job Posting</w:t>
      </w:r>
    </w:p>
    <w:p xmlns:wp14="http://schemas.microsoft.com/office/word/2010/wordml" w:rsidP="2DFC509A" wp14:paraId="16A47075" wp14:textId="2480ED56">
      <w:pPr>
        <w:shd w:val="clear" w:color="auto" w:fill="FFFFFF" w:themeFill="background1"/>
        <w:spacing w:before="0" w:beforeAutospacing="off" w:after="375" w:after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If the Economics Department has any open Reader/Grader positions, we will post them </w:t>
      </w:r>
      <w:r w:rsidRPr="2DFC509A" w:rsidR="2DC3D91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on the </w:t>
      </w:r>
      <w:hyperlink r:id="R7f370f8c7dc447af">
        <w:r w:rsidRPr="2DFC509A" w:rsidR="3C07EB3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Academic Student Employee page.</w:t>
        </w:r>
      </w:hyperlink>
      <w:r w:rsidRPr="2DFC509A" w:rsidR="3C07EB3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</w:t>
      </w:r>
    </w:p>
    <w:p w:rsidR="3C07EB32" w:rsidP="2DFC509A" w:rsidRDefault="3C07EB32" w14:paraId="090477A4" w14:textId="3CE93E22">
      <w:pPr>
        <w:pStyle w:val="Heading2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2DFC509A" w:rsidR="3C07EB32">
        <w:rPr>
          <w:noProof w:val="0"/>
          <w:lang w:val="en-US"/>
        </w:rPr>
        <w:t>International Students</w:t>
      </w:r>
    </w:p>
    <w:p w:rsidR="0C7760D5" w:rsidP="2DFC509A" w:rsidRDefault="0C7760D5" w14:paraId="1225F1C4" w14:textId="3877C5B6">
      <w:pPr>
        <w:shd w:val="clear" w:color="auto" w:fill="FFFFFF" w:themeFill="background1"/>
        <w:spacing w:before="0" w:beforeAutospacing="off" w:after="375" w:afterAutospacing="off"/>
        <w:rPr>
          <w:rFonts w:ascii="Aptos" w:hAnsi="Aptos" w:eastAsia="Aptos" w:cs="Aptos"/>
          <w:strike w:val="0"/>
          <w:dstrike w:val="0"/>
          <w:noProof w:val="0"/>
          <w:color w:val="85754D"/>
          <w:sz w:val="24"/>
          <w:szCs w:val="24"/>
          <w:u w:val="single"/>
          <w:lang w:val="en-US"/>
        </w:rPr>
      </w:pP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International students with a TA/RA/SA/Instructor or any other 50% or 20 hour per week appointment cannot, at the same time, have an appointment as a reader/grader without 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additional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authorization from the International Students and Scholars office, for 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additional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information please consult the </w:t>
      </w:r>
      <w:hyperlink r:id="R8927f071982a4b2d">
        <w:r w:rsidRPr="2DFC509A" w:rsidR="0C7760D5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ISS office</w:t>
        </w:r>
        <w:r w:rsidRPr="2DFC509A" w:rsidR="0C7760D5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.</w:t>
        </w:r>
      </w:hyperlink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</w:t>
      </w:r>
    </w:p>
    <w:p w:rsidR="0C7760D5" w:rsidP="2DFC509A" w:rsidRDefault="0C7760D5" w14:paraId="4D7C8B26" w14:textId="055B7DBD">
      <w:pPr>
        <w:pStyle w:val="Heading2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2DFC509A" w:rsidR="0C7760D5">
        <w:rPr>
          <w:noProof w:val="0"/>
          <w:lang w:val="en-US"/>
        </w:rPr>
        <w:t>Conditions</w:t>
      </w:r>
    </w:p>
    <w:p w:rsidR="0C7760D5" w:rsidP="2DFC509A" w:rsidRDefault="0C7760D5" w14:paraId="293C7508" w14:textId="766E96D8">
      <w:pPr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Reader</w:t>
      </w:r>
      <w:r w:rsidRPr="2DFC509A" w:rsidR="0C7760D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/Graders are classified as Academic Student Employees covered by the </w:t>
      </w:r>
      <w:hyperlink r:id="R3e0ce78f449a4ebc">
        <w:r w:rsidRPr="2DFC509A" w:rsidR="0C7760D5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UAW/UW collective bargaining agreement.</w:t>
        </w:r>
      </w:hyperlink>
    </w:p>
    <w:p xmlns:wp14="http://schemas.microsoft.com/office/word/2010/wordml" wp14:paraId="2C078E63" wp14:textId="1BAE779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0857a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450C7B"/>
    <w:rsid w:val="038621AB"/>
    <w:rsid w:val="051F9B9D"/>
    <w:rsid w:val="083F40E9"/>
    <w:rsid w:val="09E7882F"/>
    <w:rsid w:val="0C7760D5"/>
    <w:rsid w:val="0C92C42D"/>
    <w:rsid w:val="0DF7200F"/>
    <w:rsid w:val="122EE843"/>
    <w:rsid w:val="14450C7B"/>
    <w:rsid w:val="1848DB51"/>
    <w:rsid w:val="1A794BBD"/>
    <w:rsid w:val="1CFC6526"/>
    <w:rsid w:val="24E4F1C3"/>
    <w:rsid w:val="257FCBDB"/>
    <w:rsid w:val="28F8AF49"/>
    <w:rsid w:val="2AF0D2CC"/>
    <w:rsid w:val="2B01C9AA"/>
    <w:rsid w:val="2C1496CD"/>
    <w:rsid w:val="2C1DE9D4"/>
    <w:rsid w:val="2DC3D917"/>
    <w:rsid w:val="2DC5B43B"/>
    <w:rsid w:val="2DFC509A"/>
    <w:rsid w:val="375DBB61"/>
    <w:rsid w:val="3C07EB32"/>
    <w:rsid w:val="3D190DA6"/>
    <w:rsid w:val="3D1B2FD1"/>
    <w:rsid w:val="3D2F86D2"/>
    <w:rsid w:val="3F427DCD"/>
    <w:rsid w:val="438BC6CD"/>
    <w:rsid w:val="57EEFE37"/>
    <w:rsid w:val="5BD3EE6F"/>
    <w:rsid w:val="606AE719"/>
    <w:rsid w:val="64903842"/>
    <w:rsid w:val="66B0999B"/>
    <w:rsid w:val="6BB41784"/>
    <w:rsid w:val="7267F41D"/>
    <w:rsid w:val="7544598D"/>
    <w:rsid w:val="75C931B7"/>
    <w:rsid w:val="75F5D7B0"/>
    <w:rsid w:val="768FB07A"/>
    <w:rsid w:val="77ED862C"/>
    <w:rsid w:val="7ECED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0C7B"/>
  <w15:chartTrackingRefBased/>
  <w15:docId w15:val="{AD0A8D2B-FCD7-44F7-A95E-9C4E363CB9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D2F86D2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D2F86D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5138ff34ad84fae" /><Relationship Type="http://schemas.openxmlformats.org/officeDocument/2006/relationships/hyperlink" Target="https://econ.washington.edu/academic-student-employees" TargetMode="External" Id="R7f370f8c7dc447af" /><Relationship Type="http://schemas.openxmlformats.org/officeDocument/2006/relationships/hyperlink" Target="https://iss.washington.edu/about-iss/" TargetMode="External" Id="R8927f071982a4b2d" /><Relationship Type="http://schemas.openxmlformats.org/officeDocument/2006/relationships/hyperlink" Target="https://hr.uw.edu/labor/academic-and-student-unions/uaw-ase/ase-contract" TargetMode="External" Id="R3e0ce78f449a4eb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371FEED045440AFF37080485E1405" ma:contentTypeVersion="19" ma:contentTypeDescription="Create a new document." ma:contentTypeScope="" ma:versionID="3081f1d68407afaa2ab1232c1bc0b610">
  <xsd:schema xmlns:xsd="http://www.w3.org/2001/XMLSchema" xmlns:xs="http://www.w3.org/2001/XMLSchema" xmlns:p="http://schemas.microsoft.com/office/2006/metadata/properties" xmlns:ns2="d67b5d6c-cb27-40d7-b795-25374396024b" xmlns:ns3="6dd0124b-9c3f-43c9-9fe7-3bfeadf78e65" xmlns:ns4="ab06a5aa-8e31-4bdb-9b13-38c58a92ec8a" targetNamespace="http://schemas.microsoft.com/office/2006/metadata/properties" ma:root="true" ma:fieldsID="dfc7f10febee27c3a38f5756ce7693a6" ns2:_="" ns3:_="" ns4:_="">
    <xsd:import namespace="d67b5d6c-cb27-40d7-b795-25374396024b"/>
    <xsd:import namespace="6dd0124b-9c3f-43c9-9fe7-3bfeadf78e65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5d6c-cb27-40d7-b795-253743960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0124b-9c3f-43c9-9fe7-3bfeadf78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8c1605-53a9-442c-8dfb-acac3565f3d9}" ma:internalName="TaxCatchAll" ma:showField="CatchAllData" ma:web="6dd0124b-9c3f-43c9-9fe7-3bfeadf78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d67b5d6c-cb27-40d7-b795-2537439602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D1B005-5815-4FF6-AC17-229B22E256D8}"/>
</file>

<file path=customXml/itemProps2.xml><?xml version="1.0" encoding="utf-8"?>
<ds:datastoreItem xmlns:ds="http://schemas.openxmlformats.org/officeDocument/2006/customXml" ds:itemID="{FF3051A9-962F-48EA-945F-FA23AF7CAE71}"/>
</file>

<file path=customXml/itemProps3.xml><?xml version="1.0" encoding="utf-8"?>
<ds:datastoreItem xmlns:ds="http://schemas.openxmlformats.org/officeDocument/2006/customXml" ds:itemID="{6E544E5A-95F0-4A8F-9E00-5422900678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Foshee</dc:creator>
  <keywords/>
  <dc:description/>
  <lastModifiedBy>Michelle Foshee</lastModifiedBy>
  <dcterms:created xsi:type="dcterms:W3CDTF">2025-07-02T22:46:05.0000000Z</dcterms:created>
  <dcterms:modified xsi:type="dcterms:W3CDTF">2025-07-29T18:10:47.9490830Z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0x01010066A371FEED045440AFF37080485E1405</vt:lpwstr>
  </property>
  <property fmtid="{D5CDD505-2E9C-101B-9397-08002B2CF9AE}" pid="3" name="MediaServiceImageTags">
    <vt:lpwstr/>
  </property>
</Properties>
</file>